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7A" w:rsidRDefault="00A2507A" w:rsidP="00A2507A">
      <w:pPr>
        <w:spacing w:line="360" w:lineRule="auto"/>
        <w:jc w:val="left"/>
        <w:rPr>
          <w:rFonts w:ascii="宋体" w:eastAsia="宋体" w:hAnsi="宋体" w:cs="宋体"/>
          <w:b/>
          <w:bCs/>
          <w:sz w:val="32"/>
          <w:szCs w:val="32"/>
        </w:rPr>
      </w:pPr>
      <w:r>
        <w:rPr>
          <w:rFonts w:ascii="宋体" w:eastAsia="宋体" w:hAnsi="宋体" w:cs="宋体" w:hint="eastAsia"/>
          <w:b/>
          <w:bCs/>
          <w:sz w:val="32"/>
          <w:szCs w:val="32"/>
        </w:rPr>
        <w:t>附：</w:t>
      </w:r>
      <w:bookmarkStart w:id="0" w:name="_GoBack"/>
      <w:r>
        <w:rPr>
          <w:rFonts w:ascii="宋体" w:eastAsia="宋体" w:hAnsi="宋体" w:cs="宋体" w:hint="eastAsia"/>
          <w:b/>
          <w:bCs/>
          <w:sz w:val="32"/>
          <w:szCs w:val="32"/>
        </w:rPr>
        <w:t>第六届中国国际“互联网+”大学生创新创业大赛简介</w:t>
      </w:r>
    </w:p>
    <w:bookmarkEnd w:id="0"/>
    <w:p w:rsidR="00A2507A" w:rsidRDefault="00A2507A" w:rsidP="00A2507A">
      <w:pPr>
        <w:spacing w:line="360" w:lineRule="auto"/>
        <w:ind w:firstLineChars="200" w:firstLine="400"/>
        <w:jc w:val="left"/>
        <w:rPr>
          <w:rFonts w:ascii="宋体" w:eastAsia="宋体" w:hAnsi="宋体" w:cs="宋体"/>
          <w:color w:val="4B4B4B"/>
          <w:kern w:val="0"/>
          <w:sz w:val="20"/>
          <w:szCs w:val="20"/>
          <w:shd w:val="clear" w:color="auto" w:fill="FFFFFF"/>
        </w:rPr>
      </w:pPr>
      <w:r>
        <w:rPr>
          <w:rFonts w:ascii="宋体" w:eastAsia="宋体" w:hAnsi="宋体" w:cs="宋体" w:hint="eastAsia"/>
          <w:color w:val="4B4B4B"/>
          <w:kern w:val="0"/>
          <w:sz w:val="20"/>
          <w:szCs w:val="20"/>
          <w:shd w:val="clear" w:color="auto" w:fill="FFFFFF"/>
        </w:rPr>
        <w:t>为全面落实习近平总书记给中国“互联网+”大学生创新创业大赛“青年红色筑梦之旅”大学生的重要回信精神，深入推进大众创业万众创新，引领创新创业教育国际交流合作，加快培养创新创业人才，促进创新驱动创业、创业引领就业，教育部定于2020年6月至11月举办第六届中国国际“互联网+”大学生创新创业大赛。</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一、大赛主题</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我敢闯、我会创</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二、大赛目的与任务</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以赛促学，培养创新创业生力军。大赛旨在激发学生的创造力，激励广大青年扎根中国大地了解国情民情，锤炼意志品质，开拓国际视野，在创新创业中增长智慧才干，把激昂的青春梦融入伟大的中国梦，努力成长为德才兼备的有为人才。</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以赛促教，探索素质教育新途径。把大赛作为深化创新创业教育改革的重要抓手，引导各类学校主动服务国家战略和区域发展，深化人才培养综合改革，全面推进素质教育，切实提高学生的创新精神、创业意识和创新创业能力。推动人才培养范式深刻变革，形成新的人才质量观、教学质量观、质量文化观。</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以赛促创，搭建成果转化新平台。推动赛事成果转化和产学研用紧密结合，促进“互联网+”新业态形成，服务经济高质量发展，努力形成高校毕业生更高质量创业就业的新局面。</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三、大赛总体安排</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第六届大赛将力争做到“五个更”。一是更国际。立足粤港澳大湾区，融入全球创新创业浪潮，汇聚世界一流大学，打造同场竞技、相互促进、人文交流的国际大平台。二是更教育。深化创新创业教育改革，构建德智体美劳“五育平台”，培养学生敢闯的素质、会创的能力；助力脱贫攻坚，提升学生社会责任感和担当精神。三是更全面。做强高教、国际、职教、萌芽各版块，探索形成各学段有机衔接的创新创业教育链条，实现区域、学校、学生类型全覆盖。四是更创新。广泛开展大学生和中学生创新活动，助推科研成果转化应用，服务国家创新发展。五是更中国。以大赛为载体，推出创新创业教育的中国经验、中国模式，提升我国高等教育的影响力、感召力和塑造力。</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第六届大赛将举办“1+6”系列活动。“1”是主体赛事，包括高教主赛道（详见附件1）、“青年红色筑梦之旅”赛道（详见附件2）、职教赛道（详见附件3）、萌芽赛道（详见附件4）。“6”是6项同期活动，包括“智闯未来”青年红色筑梦之旅活动、“智创未来”全球创新创业成果展、“智绘未来”世界湾区高等教育峰会、“智联未来”全球独角兽企业尖峰论坛、“智享未来”全球青年学术大咖面对面、“智投未来”投融资竞标会。</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四、组织机构</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本届大赛由教育部、中央统战部、中央网络安全和信息化委员会办公室、国家发展改革委、工业和信息化部、人力资源社会保障部、农业农村部、中国科学院、中国工程院、国家知识产权局、国务院扶贫开发领导小组办公室、共青团中央和广东省人民政府共同主办，华南理工大学、广州市人民政府和深圳市人民政府承办。</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大赛设立组织委员会（简称大赛组委会），由教育部部长陈宝生和广东省省长马兴瑞担任主任，教育部副部长钟登华和广东省副省长覃伟中担任副主任，教育部高教司司长吴岩担任秘书长，有关部门（单位）负责人作为成员，负责大赛的组织实施。</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lastRenderedPageBreak/>
        <w:t xml:space="preserve">　　大赛设立专家委员会，由中国工程院原常务副院长潘云鹤担任主任、国家知识产权局原局长田力普担任副主任，行业企业、投资机构、创业孵化机构、大学科技园、公益组织、高校和科研院所专家作为成员，负责参赛项目的评审工作，指导大学生创新创业。</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大赛设立纪律与监督委员会，对大赛组织评审工作、协办单位相关工作进行监督，对违反大赛纪律的行为予以处理。</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大赛总决赛由中国建设银行冠名支持，各地教育部门可积极争取中国建设银行分支机构对省赛的赞助支持。大赛由相关组织参与协办（名单经大赛纪律与监督委员会认可后另发）。</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各省（区、市）和新疆生产建设兵团可根据实际成立相应的机构，开展本地初赛和复赛的组织实施、项目评审和推荐等工作。</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五、参赛项目要求</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1.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服务新型基础设施建设，促进制造业、农业、能源、环保等产业转型升级；发挥互联网在社会服务中的作用，创新网络化服务模式，促进互联网与教育、医疗、交通、金融、消费生活等深度融合（各赛道参赛项目类型详见附件）。</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3.参赛项目涉及他人知识产权的，报名时须提交完整的具有法律效力的所有人书面授权许可书、专利证书等；已完成工商登记注册的创业项目，报名时须提交营业执照及统一社会信用代码等相关复印件、单位概况、法定代表人情况、股权结构等。参赛项目可提供当前财务数据、已获投资情况、带动就业情况等相关证明材料。在大赛通知发布前已获投资1000万元及以上或在2019年及之前任意一个年度的收入达到1000万元及以上的参赛项目，请在全国总决赛时提供相应佐证材料。</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4.参赛项目根据各赛道相应的要求，只能选择一个符合要求的赛道参赛。已获往届中国“互联网+”大学生创新创业大赛全国总决赛各赛道金奖和银奖的项目，不可报名参加本届大赛。</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5.各省（区、市）教育厅（教委），新疆生产建设兵团教育局，各有关学校负责审核参赛对象资格。</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六、比赛赛制</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1.大赛主要采用校级初赛、省级复赛、全国总决赛三级赛制（不含萌芽赛道）。校级初赛由各校负责组织，省级复赛由各地负责组织，全国总决赛由各地按照大赛组委会确定的配额择优遴选推荐项目。大赛组委会将综合考虑各地报名团队数、参赛院校数和创新创业教育工作情况等因素分配全国总决赛名额。</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2.全国共产生1600个项目入围全国总决赛（港澳台地区参赛名额单列），其中高教主赛道1000个（中国大陆参赛项目600个、国际参赛项目400个，中国港澳台地区参赛项目数量另定）、“青年红色筑梦之旅”赛道200个、职教赛道200个、萌芽赛道200个。</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3.高教主赛道每所高校入选全国总决赛项目总数不超过4个，“青年红色筑梦之旅”赛道、职教赛道、萌芽赛道每所院校入选全国总决赛项目各不超过2个。</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七、赛程安排</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1.参赛报名（2020年6月）。参赛团队通过登录“全国大学生创业服务网”（cy.ncss.cn）或微信公众号（名称为“全国大学生创业服务网”或“中国互联网十大学生创新创业大赛”）任一方式进行报名。报名系统开放时间为2020年6月11日，截止时间由各地根据复赛安排自行</w:t>
      </w:r>
      <w:r>
        <w:rPr>
          <w:rFonts w:ascii="宋体" w:eastAsia="宋体" w:hAnsi="宋体" w:cs="宋体" w:hint="eastAsia"/>
          <w:color w:val="4B4B4B"/>
          <w:sz w:val="20"/>
          <w:szCs w:val="20"/>
          <w:shd w:val="clear" w:color="auto" w:fill="FFFFFF"/>
        </w:rPr>
        <w:lastRenderedPageBreak/>
        <w:t>决定，但不得晚于8月15日。国际参赛项目通过全球青年创新领袖共同体促进会官网（www.pilcchina.org）进行报名（具体安排另行通知）。赛事咨询请通过“中国互联网十大学生创新创业大赛”微信公众号进行咨询，参赛团队可在“全国大学生创业服务网”（cy.ncss.cn）资料下载板块，下载学生操作手册，指导报名参赛。</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2.初赛复赛（2020年6—9月中旬）。各地各校登录cy.ncss.cn/gl/login进行大赛管理和信息查看。省级管理用户使用大赛组委会统一分配的账号进行登录，校级账号由各省级管理用户进行管理。初赛复赛的比赛环节、评审方式等由各校、各地自行决定。各地各校要正确研判当地的疫情形势，原则上采用线上路演的方式开展校级初赛和省级复赛，尽量减少线下同期活动，并做好相关疫情防控预案。大赛组委会已组织有关单位加紧开发免费的网上路演平台（另行通知），各地各校可根据自身情况选择使用。各地在9月15日前完成省级复赛，遴选参加全国总决赛的候选项目（推荐项目应有名次排序，供全国总决赛参考）。国际参赛项目的推荐遴选工作另行安排。</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3.全国总决赛（2020年11月上旬）。大赛专家委员会对入围全国总决赛项目进行网上评审，择优选拔项目进行现场比赛，决出金奖、银奖、铜奖。</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大赛组委会将通过“全国大学生创业服务网”为参赛团队提供项目展示、创业指导、投资对接等服务。各项目团队可以登录“全国大学生创业服务网”查看相关信息。各地可以利用网站提供的资源，为参赛团队做好服务。华为技术有限公司将为参赛团队提供多种资源支持。</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八、评审规则</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请登录“全国大学生创业服务网”（cy.ncss.cn）查看具体内容。</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九、大赛奖项</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大赛设金奖、银奖、铜奖和各类单项奖；另设高校集体奖、省市组织奖和优秀创新创业导师奖。</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Style w:val="a6"/>
          <w:rFonts w:ascii="宋体" w:eastAsia="宋体" w:hAnsi="宋体" w:cs="宋体" w:hint="eastAsia"/>
          <w:color w:val="4B4B4B"/>
          <w:sz w:val="20"/>
          <w:szCs w:val="20"/>
          <w:shd w:val="clear" w:color="auto" w:fill="FFFFFF"/>
        </w:rPr>
        <w:t>十、宣传发动</w:t>
      </w:r>
    </w:p>
    <w:p w:rsidR="00A2507A" w:rsidRDefault="00A2507A" w:rsidP="00A2507A">
      <w:pPr>
        <w:pStyle w:val="a5"/>
        <w:widowControl/>
        <w:shd w:val="clear" w:color="auto" w:fill="FFFFFF"/>
        <w:spacing w:beforeAutospacing="0" w:afterAutospacing="0" w:line="240" w:lineRule="atLeast"/>
        <w:rPr>
          <w:rFonts w:ascii="宋体" w:eastAsia="宋体" w:hAnsi="宋体" w:cs="宋体"/>
          <w:color w:val="333333"/>
          <w:sz w:val="20"/>
          <w:szCs w:val="20"/>
        </w:rPr>
      </w:pPr>
      <w:r>
        <w:rPr>
          <w:rFonts w:ascii="宋体" w:eastAsia="宋体" w:hAnsi="宋体" w:cs="宋体" w:hint="eastAsia"/>
          <w:color w:val="4B4B4B"/>
          <w:sz w:val="20"/>
          <w:szCs w:val="20"/>
          <w:shd w:val="clear" w:color="auto" w:fill="FFFFFF"/>
        </w:rPr>
        <w:t xml:space="preserve">　　各地各校要认真做好大赛的宣传动员和组织工作。各省级教育行政部门要做好统筹协调，高教、职教和普教职能处室共同参与，组织做好省内比赛和项目推荐工作。各校要认真组织动员团队参赛，为在校生和毕业生参与竞赛提供必要的条件和支持，做好学校初赛组织工作。鼓励教师将科技成果产业化，带领学生创新创业。根据情况组织师生观看大学生创新创业题材电影，激励更多学生了解“双创”、投身“双创”。</w:t>
      </w:r>
    </w:p>
    <w:p w:rsidR="00A2507A" w:rsidRDefault="00A2507A" w:rsidP="00A2507A">
      <w:pPr>
        <w:pStyle w:val="a5"/>
        <w:widowControl/>
        <w:shd w:val="clear" w:color="auto" w:fill="FFFFFF"/>
        <w:spacing w:beforeAutospacing="0" w:afterAutospacing="0" w:line="240" w:lineRule="atLeast"/>
        <w:rPr>
          <w:rFonts w:ascii="Times New Roman" w:eastAsia="宋体" w:hAnsi="Times New Roman"/>
        </w:rPr>
      </w:pPr>
      <w:r>
        <w:rPr>
          <w:rFonts w:ascii="宋体" w:eastAsia="宋体" w:hAnsi="宋体" w:cs="宋体" w:hint="eastAsia"/>
          <w:color w:val="4B4B4B"/>
          <w:sz w:val="20"/>
          <w:szCs w:val="20"/>
          <w:shd w:val="clear" w:color="auto" w:fill="FFFFFF"/>
        </w:rPr>
        <w:t xml:space="preserve">　　各地各校要坚持以赛促学、以赛促教、以赛促创，积极推进学生创新创业训练和实践，不断提高创新创业人才培养水平，为建设创新型国家提供源源不断的人才智力支撑。</w:t>
      </w:r>
    </w:p>
    <w:p w:rsidR="008C4839" w:rsidRPr="00A2507A" w:rsidRDefault="008C4839"/>
    <w:sectPr w:rsidR="008C4839" w:rsidRPr="00A2507A" w:rsidSect="00F622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7B" w:rsidRDefault="0086267B" w:rsidP="00A2507A">
      <w:r>
        <w:separator/>
      </w:r>
    </w:p>
  </w:endnote>
  <w:endnote w:type="continuationSeparator" w:id="0">
    <w:p w:rsidR="0086267B" w:rsidRDefault="0086267B" w:rsidP="00A2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7B" w:rsidRDefault="0086267B" w:rsidP="00A2507A">
      <w:r>
        <w:separator/>
      </w:r>
    </w:p>
  </w:footnote>
  <w:footnote w:type="continuationSeparator" w:id="0">
    <w:p w:rsidR="0086267B" w:rsidRDefault="0086267B" w:rsidP="00A25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8D"/>
    <w:rsid w:val="0048468D"/>
    <w:rsid w:val="0086267B"/>
    <w:rsid w:val="008C4839"/>
    <w:rsid w:val="00A2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7CEB60-7FAF-44C5-BC1E-2A8F5DC9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07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5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507A"/>
    <w:rPr>
      <w:sz w:val="18"/>
      <w:szCs w:val="18"/>
    </w:rPr>
  </w:style>
  <w:style w:type="paragraph" w:styleId="a4">
    <w:name w:val="footer"/>
    <w:basedOn w:val="a"/>
    <w:link w:val="Char0"/>
    <w:uiPriority w:val="99"/>
    <w:unhideWhenUsed/>
    <w:rsid w:val="00A2507A"/>
    <w:pPr>
      <w:tabs>
        <w:tab w:val="center" w:pos="4153"/>
        <w:tab w:val="right" w:pos="8306"/>
      </w:tabs>
      <w:snapToGrid w:val="0"/>
      <w:jc w:val="left"/>
    </w:pPr>
    <w:rPr>
      <w:sz w:val="18"/>
      <w:szCs w:val="18"/>
    </w:rPr>
  </w:style>
  <w:style w:type="character" w:customStyle="1" w:styleId="Char0">
    <w:name w:val="页脚 Char"/>
    <w:basedOn w:val="a0"/>
    <w:link w:val="a4"/>
    <w:uiPriority w:val="99"/>
    <w:rsid w:val="00A2507A"/>
    <w:rPr>
      <w:sz w:val="18"/>
      <w:szCs w:val="18"/>
    </w:rPr>
  </w:style>
  <w:style w:type="paragraph" w:styleId="a5">
    <w:name w:val="Normal (Web)"/>
    <w:basedOn w:val="a"/>
    <w:rsid w:val="00A2507A"/>
    <w:pPr>
      <w:spacing w:beforeAutospacing="1" w:afterAutospacing="1"/>
      <w:jc w:val="left"/>
    </w:pPr>
    <w:rPr>
      <w:rFonts w:cs="Times New Roman"/>
      <w:kern w:val="0"/>
      <w:sz w:val="24"/>
    </w:rPr>
  </w:style>
  <w:style w:type="character" w:styleId="a6">
    <w:name w:val="Strong"/>
    <w:basedOn w:val="a0"/>
    <w:qFormat/>
    <w:rsid w:val="00A2507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陈真</dc:creator>
  <cp:keywords/>
  <dc:description/>
  <cp:lastModifiedBy>陈真</cp:lastModifiedBy>
  <cp:revision>2</cp:revision>
  <dcterms:created xsi:type="dcterms:W3CDTF">2020-07-03T07:53:00Z</dcterms:created>
  <dcterms:modified xsi:type="dcterms:W3CDTF">2020-07-03T07:53:00Z</dcterms:modified>
</cp:coreProperties>
</file>